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DBA" w:rsidRPr="00601DBA" w:rsidRDefault="00A0720C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sz w:val="20"/>
          <w:szCs w:val="20"/>
        </w:rPr>
        <w:t>ZAVOD ZA JAVNO ZDRAVLJE PANČEVO</w:t>
      </w:r>
    </w:p>
    <w:p w:rsidR="001F55F6" w:rsidRPr="001F55F6" w:rsidRDefault="00A0720C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sz w:val="20"/>
          <w:szCs w:val="20"/>
        </w:rPr>
        <w:t>102002701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A0720C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sz w:val="20"/>
          <w:szCs w:val="20"/>
        </w:rPr>
        <w:t>PASTEROVA 2</w:t>
      </w:r>
    </w:p>
    <w:p w:rsidR="001F55F6" w:rsidRPr="001F55F6" w:rsidRDefault="00A0720C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26000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sz w:val="20"/>
          <w:szCs w:val="20"/>
        </w:rPr>
        <w:t>PANČEVO</w:t>
      </w:r>
    </w:p>
    <w:bookmarkEnd w:id="1"/>
    <w:p w:rsidR="001F55F6" w:rsidRPr="001F55F6" w:rsidRDefault="00A0720C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A0720C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04.11.2024</w:t>
      </w:r>
    </w:p>
    <w:p w:rsidR="001F55F6" w:rsidRPr="001F55F6" w:rsidRDefault="00A0720C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01-558/26-2024</w:t>
      </w:r>
    </w:p>
    <w:p w:rsidR="001F55F6" w:rsidRPr="00A9707B" w:rsidRDefault="00A0720C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146. stav 1. Zakona o javnim nabavkama („Službeni glasnik“, broj 91/19), naručilac donosi, odluku o dedeli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ugovora.</w:t>
      </w:r>
    </w:p>
    <w:p w:rsidR="001F55F6" w:rsidRPr="001F55F6" w:rsidRDefault="00A0720C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1"/>
    </w:p>
    <w:p w:rsidR="001F55F6" w:rsidRPr="001F55F6" w:rsidRDefault="00A0720C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ZAVOD ZA JAVNO ZDRAVLJE PANČEVO</w:t>
      </w:r>
    </w:p>
    <w:p w:rsidR="001F55F6" w:rsidRPr="001F55F6" w:rsidRDefault="00A0720C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sz w:val="20"/>
          <w:szCs w:val="20"/>
          <w:lang w:val="sr-Latn-BA"/>
        </w:rPr>
        <w:t>JND-VIII/2024</w:t>
      </w:r>
    </w:p>
    <w:p w:rsidR="001F55F6" w:rsidRPr="001F55F6" w:rsidRDefault="00A0720C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sz w:val="20"/>
          <w:szCs w:val="20"/>
          <w:lang w:val="sr-Latn-BA"/>
        </w:rPr>
        <w:t>Nabavka opreme i nameštaja za ekotoksikološku laboratoriju</w:t>
      </w:r>
    </w:p>
    <w:p w:rsidR="001F55F6" w:rsidRPr="001F55F6" w:rsidRDefault="00A0720C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2024/S F02-0034616</w:t>
      </w:r>
    </w:p>
    <w:p w:rsidR="001F55F6" w:rsidRPr="001F55F6" w:rsidRDefault="00A0720C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A0720C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sz w:val="20"/>
          <w:szCs w:val="20"/>
          <w:lang w:val="sr-Latn-BA"/>
        </w:rPr>
        <w:t>38000000</w:t>
      </w:r>
    </w:p>
    <w:p w:rsidR="001F55F6" w:rsidRPr="001F55F6" w:rsidRDefault="00A0720C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Nabavka opreme i nameštaja za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ekotoksikološku laboratoriju</w:t>
      </w:r>
    </w:p>
    <w:p w:rsidR="001F55F6" w:rsidRPr="00B84A8C" w:rsidRDefault="00A0720C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sz w:val="20"/>
          <w:szCs w:val="20"/>
        </w:rPr>
        <w:t>28.896.360,00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A0720C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707503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A0720C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ELTA 90 MEDICAL SCIENCE DOO BEOGRAD - ZVEZDARA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107392312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SVETOG KLIMENTA, 26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Beograd (Zvezdara)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11050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A0720C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23.950.000,00</w:t>
      </w:r>
    </w:p>
    <w:p w:rsidR="001F55F6" w:rsidRPr="00B84A8C" w:rsidRDefault="00A0720C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28.740.000,00</w:t>
      </w:r>
    </w:p>
    <w:p w:rsidR="001F55F6" w:rsidRPr="00B84A8C" w:rsidRDefault="00A0720C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707503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707503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07503">
        <w:trPr>
          <w:trHeight w:val="40"/>
        </w:trPr>
        <w:tc>
          <w:tcPr>
            <w:tcW w:w="15397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503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707503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opreme i nameštaja za ekotoksikološku laboratoriju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JND-VIII/2024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01-558/1-2024,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09.09.2024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28.896.360,00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70750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50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38000000-Laboratorijska, optička i precizna oprema (osim naočara)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70750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50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707503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Oprema se novi prostor namenski građen za ekotoksikološku laboratoriju i moraju se poštovati dimenzije prostora i standardi za laboratorijsko opremanje i nameštaj. 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2024/S F02-0034616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19.09.2024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</w:t>
                  </w:r>
                  <w:r>
                    <w:rPr>
                      <w:color w:val="000000"/>
                      <w:sz w:val="20"/>
                      <w:szCs w:val="20"/>
                    </w:rPr>
                    <w:t>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31.10.2024 12:00:00</w:t>
                  </w:r>
                </w:p>
              </w:tc>
            </w:tr>
          </w:tbl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503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707503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Sanja Božović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Tamara Đurković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Jelisaveta Nastić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Novak Tomić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Dejan Blagojević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Goran Ilić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Vladanka Milovanović</w:t>
                  </w:r>
                </w:p>
              </w:tc>
            </w:tr>
          </w:tbl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503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707503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707503">
              <w:trPr>
                <w:trHeight w:val="374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707503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1"/>
                          <w:gridCol w:w="11570"/>
                        </w:tblGrid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Nabavka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opreme i nameštaja za ekotoksikološku laboratoriju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 i kriterijuma kvaliteta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07503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460"/>
                          <w:gridCol w:w="2841"/>
                        </w:tblGrid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Rok isporuke, montaže i stavljanja u funkciju predmetnih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dobara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rok za kvalitet isporučenih , montiranih i stavljenih u funkciju dobara koji su predmet nabavke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07503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rok za digrestore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Garanti rok za mašinu za pranje laboratorijskog posuđa</w:t>
                              </w:r>
                            </w:p>
                          </w:tc>
                        </w:tr>
                      </w:tbl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07503" w:rsidRDefault="0070750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503">
        <w:trPr>
          <w:trHeight w:val="56"/>
        </w:trPr>
        <w:tc>
          <w:tcPr>
            <w:tcW w:w="15397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707503" w:rsidRDefault="00A0720C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707503" w:rsidRDefault="00707503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707503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707503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31.10.2024 12:00:00</w:t>
                  </w:r>
                </w:p>
              </w:tc>
            </w:tr>
            <w:tr w:rsidR="00707503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31.10.2024 12:04:48</w:t>
                  </w:r>
                </w:p>
              </w:tc>
            </w:tr>
            <w:tr w:rsidR="00707503">
              <w:trPr>
                <w:trHeight w:val="276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707503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503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5"/>
                          <w:gridCol w:w="2221"/>
                          <w:gridCol w:w="1399"/>
                          <w:gridCol w:w="2839"/>
                        </w:tblGrid>
                        <w:tr w:rsidR="00707503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PROANALYTICA DOO BEOGRAD, Bulevar umetnosti, 27,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3110/2024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30.10.2024. 11:53:43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ANALYSIS DOO  BEOGRAD, Japanska 4, lokal br.49,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P-24-301024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30.10.2024.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16:42:54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DOO, Milutina Milankovića, 25,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P24-255579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31.10.2024. 11:13:55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ELTA 90 MEDICAL SCIENCE DOO BEOGRAD - ZVEZDARA, SVETOG KLIMENTA, 26, 11050, Beograd (Zvezdara),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1703-24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31.10.2024. 11:15:23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BEOGRAD, BAČKA, 1 U, 11080,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24-010-014095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31.10.2024. 11:29:01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LABOBNOVA DOO PIVNICE, VAŠARIŠTE, 3, 21469, PIVNICE,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11310/24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31.10.2024. 11:44:02</w:t>
                              </w:r>
                            </w:p>
                          </w:tc>
                        </w:tr>
                      </w:tbl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503" w:rsidRDefault="0070750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503">
        <w:trPr>
          <w:trHeight w:val="62"/>
        </w:trPr>
        <w:tc>
          <w:tcPr>
            <w:tcW w:w="15397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707503" w:rsidRDefault="00A0720C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707503" w:rsidRDefault="00707503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707503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707503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707503">
              <w:trPr>
                <w:trHeight w:val="2721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28"/>
                    <w:gridCol w:w="2525"/>
                  </w:tblGrid>
                  <w:tr w:rsidR="00707503">
                    <w:tc>
                      <w:tcPr>
                        <w:tcW w:w="12846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01"/>
                          <w:gridCol w:w="1133"/>
                          <w:gridCol w:w="1133"/>
                          <w:gridCol w:w="1069"/>
                          <w:gridCol w:w="1129"/>
                          <w:gridCol w:w="1124"/>
                          <w:gridCol w:w="1379"/>
                          <w:gridCol w:w="1111"/>
                          <w:gridCol w:w="1109"/>
                          <w:gridCol w:w="1083"/>
                        </w:tblGrid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70750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za kvalitet isporučenih , montiranih i stavljenih u funkciju dobara koji su predmet nabavke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isporuke,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montaže i stavljanja u funkciju predmetnih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Garanti rok za mašinu za pranje laboratorijskog posuđa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za digrestore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ANALYSIS DOO 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26584680.00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31901616.00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 100%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ELTA 90 MEDICAL SCIENCE DOO BEOGRAD - ZVEZDARA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23950000.00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28740000.00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Uplata se vrši 100% avansno na račun dobavljača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27398778.00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33526533.60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avans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100%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LABOBNOVA DOO PIVNICE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28883281.96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34659938.35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 100%.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PROANALYTICA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30600600.00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36720720.00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odloženo.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38896353.57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46675624.28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Avansno plaćanje.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46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503" w:rsidRDefault="0070750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503">
        <w:trPr>
          <w:trHeight w:val="50"/>
        </w:trPr>
        <w:tc>
          <w:tcPr>
            <w:tcW w:w="15392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503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707503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707503">
              <w:trPr>
                <w:trHeight w:val="272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25"/>
                    <w:gridCol w:w="2528"/>
                  </w:tblGrid>
                  <w:tr w:rsidR="00707503">
                    <w:tc>
                      <w:tcPr>
                        <w:tcW w:w="12846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99"/>
                          <w:gridCol w:w="1132"/>
                          <w:gridCol w:w="1133"/>
                          <w:gridCol w:w="1069"/>
                          <w:gridCol w:w="1129"/>
                          <w:gridCol w:w="1124"/>
                          <w:gridCol w:w="1379"/>
                          <w:gridCol w:w="1111"/>
                          <w:gridCol w:w="1109"/>
                          <w:gridCol w:w="1083"/>
                        </w:tblGrid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70750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Garantni rok za kvalitet isporučenih , montiranih i stavljenih u funkciju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dobara koji su predmet nabavke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isporuke, montaže i stavljanja u funkciju predmetnih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Garanti rok za mašinu za pranje laboratorijskog posuđa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za digrestore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ANALYSIS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DOO 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26584680.00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31901616.00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 100%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ELTA 90 MEDICAL SCIENCE DOO BEOGRAD - ZVEZDARA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23950000.00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28740000.00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Uplata se vrši 100% avansno na račun dobavljača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27398778.00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33526533.60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 100%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LABOBNOVA DOO PIVNICE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28883281.96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34659938.35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 100%.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PROANALYTICA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30600600.00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36720720.00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odloženo.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38896353.57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46675624.28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Avansno plaćanje.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1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503" w:rsidRDefault="0070750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503">
        <w:trPr>
          <w:trHeight w:val="48"/>
        </w:trPr>
        <w:tc>
          <w:tcPr>
            <w:tcW w:w="15392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503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707503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503" w:rsidRDefault="00A0720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707503">
              <w:trPr>
                <w:trHeight w:val="7483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707503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2813"/>
                          <w:gridCol w:w="2811"/>
                          <w:gridCol w:w="2145"/>
                          <w:gridCol w:w="2145"/>
                          <w:gridCol w:w="896"/>
                        </w:tblGrid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PROANALYTICA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30.600.600,00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36.720.720,00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Ponuda je preko procenjene vrednosti. 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70750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70750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ANALYSIS DOO 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26.584.680,00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31.901.616,00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 nije dostavio: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Dokaz o tehničkim karakteristikama za dvoetažna kolica, laboratorijske slavine, laboratorijske stolice i sigurnosne ormare  za hemikalije.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Dokaz da je ponuđač ovlašćeni predstavnik za soxhlet ekstraktor.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Dokaz za dva sertifikovana servisera za soxhlet ekstraktor.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70750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70750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38.896.353,57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46.675.624,28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Ponuda je preko procenjene vrednosti. 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Razlog za odbijanje neprihvatljivih ponuda/prijava ili drugih osnova prema Zakonu zbog kojih se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ponuda/prijava više ne razmatra: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70750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70750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ELTA 90 MEDICAL SCIENCE DOO BEOGRAD - ZVEZDARA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23.950.000,00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28.740.000,00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KEFO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27.398.778,00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33.526.533,60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 nije dostavio: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 Dokaz o tehničkim karakteristikama za ponuđeni laboratorijski nameštaj.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  Dokaz za dva sertifikovana servisera za održavanje nameštaja koji se nabavlja, za digestore i za soxhlet ekstraktor.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  Ponuda ne sadrži tražene reference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70750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70750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LABOBNOVA DOO PIVNICE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28.883.281,96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34.659.938,35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 nije dostavio: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 Dokaz o tehničkim karakteristikama za noseće konstrukcije, sudopersko korito od monolitne keramike, laboratorijske slavine, sto za analitičku vagu, dvoetažna kolica, laboratorijske stolice.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  Dokaz za dva sertifikovana servisera za održavanje nameštaja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koji se nabavlja, za digestore i za soxhlet ekstraktor.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  Dokaz da je ponuđač ovlašćeni predstavnik za soxhlet ekstraktor i za digestor.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  Ponuda ne sadrži tražene reference.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Razlog za odbijanje neprihvatljivih ponuda/prijava ili drugih osnova prema Zak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onu zbog kojih se ponuda/prijava više ne razmatra: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70750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70750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07503" w:rsidRDefault="0070750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503">
        <w:trPr>
          <w:trHeight w:val="14"/>
        </w:trPr>
        <w:tc>
          <w:tcPr>
            <w:tcW w:w="15392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503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707503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707503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9"/>
                          <w:gridCol w:w="11589"/>
                        </w:tblGrid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707503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70750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07503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70750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503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503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ELTA 90 MEDICAL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SCIENCE DOO BEOGRAD - ZVEZDARA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Rok isporuke, montaže i stavljanja u funkciju predmetnih dobara: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Garantni rok za kvalitet isporučenih , montiranih i stavljenih u funkciju dobara koji su predmet nabavke: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Ukupno: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DA</w:t>
                              </w:r>
                            </w:p>
                          </w:tc>
                        </w:tr>
                      </w:tbl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503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503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707503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503" w:rsidRDefault="00A0720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Ponuda je prihvatljiva. </w:t>
                              </w:r>
                            </w:p>
                          </w:tc>
                        </w:tr>
                      </w:tbl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503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503" w:rsidRDefault="0070750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503" w:rsidRDefault="0070750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503">
        <w:trPr>
          <w:trHeight w:val="523"/>
        </w:trPr>
        <w:tc>
          <w:tcPr>
            <w:tcW w:w="15392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503" w:rsidRDefault="0070750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707503" w:rsidRDefault="00707503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70750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A0720C" w:rsidP="008C5725">
      <w:pPr>
        <w:rPr>
          <w:rFonts w:ascii="Calibri" w:eastAsia="Calibri" w:hAnsi="Calibri" w:cs="Calibri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sz w:val="20"/>
          <w:szCs w:val="20"/>
        </w:rPr>
        <w:lastRenderedPageBreak/>
        <w:t xml:space="preserve">Ponuda je prihvatljiva. 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707503" w:rsidTr="006E13B1">
        <w:tc>
          <w:tcPr>
            <w:tcW w:w="10342" w:type="dxa"/>
          </w:tcPr>
          <w:p w:rsidR="006E13B1" w:rsidRPr="00F61EC9" w:rsidRDefault="00A0720C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RDefault="00A0720C" w:rsidP="006E13B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6" w:name="2_0"/>
            <w:bookmarkEnd w:id="36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 xml:space="preserve">Protiv ove odluke, ponuđač može da podnese zahtev za zaštitu prava u roku od </w:t>
            </w:r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deset dana od dana objavljivanja na Portalu javnih nabavki u skladu sa odredbama Zakona o javnim nabavkama („Službeni glasnik“, broj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5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0720C">
      <w:pPr>
        <w:spacing w:before="0" w:after="0"/>
      </w:pPr>
      <w:r>
        <w:separator/>
      </w:r>
    </w:p>
  </w:endnote>
  <w:endnote w:type="continuationSeparator" w:id="0">
    <w:p w:rsidR="00000000" w:rsidRDefault="00A072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A0720C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0720C">
      <w:pPr>
        <w:spacing w:before="0" w:after="0"/>
      </w:pPr>
      <w:r>
        <w:separator/>
      </w:r>
    </w:p>
  </w:footnote>
  <w:footnote w:type="continuationSeparator" w:id="0">
    <w:p w:rsidR="00000000" w:rsidRDefault="00A072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03" w:rsidRDefault="007075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07503"/>
    <w:rsid w:val="00723884"/>
    <w:rsid w:val="007500EB"/>
    <w:rsid w:val="007B33EC"/>
    <w:rsid w:val="008C5725"/>
    <w:rsid w:val="00910CBD"/>
    <w:rsid w:val="00934E20"/>
    <w:rsid w:val="00943D6F"/>
    <w:rsid w:val="00A0720C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F396C-A88A-4A0D-A8BB-9A21190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1335</Words>
  <Characters>7611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Vladanka Milovanović</cp:lastModifiedBy>
  <cp:revision>2</cp:revision>
  <dcterms:created xsi:type="dcterms:W3CDTF">2024-11-04T11:06:00Z</dcterms:created>
  <dcterms:modified xsi:type="dcterms:W3CDTF">2024-11-04T11:06:00Z</dcterms:modified>
</cp:coreProperties>
</file>